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A280" w14:textId="77777777" w:rsidR="0064191F" w:rsidRPr="0064191F" w:rsidRDefault="0064191F" w:rsidP="0064191F">
      <w:pPr>
        <w:spacing w:after="25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C4357"/>
          <w:kern w:val="36"/>
          <w:sz w:val="36"/>
          <w:szCs w:val="36"/>
          <w:lang w:eastAsia="ru-RU"/>
        </w:rPr>
      </w:pPr>
      <w:r w:rsidRPr="0064191F">
        <w:rPr>
          <w:rFonts w:ascii="Times New Roman" w:eastAsia="Times New Roman" w:hAnsi="Times New Roman" w:cs="Times New Roman"/>
          <w:b/>
          <w:bCs/>
          <w:color w:val="3C4357"/>
          <w:kern w:val="36"/>
          <w:sz w:val="36"/>
          <w:szCs w:val="36"/>
          <w:lang w:eastAsia="ru-RU"/>
        </w:rPr>
        <w:t>Памятка для населения по высокопатогенному гриппу птиц</w:t>
      </w:r>
    </w:p>
    <w:p w14:paraId="5AEAE57C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b/>
          <w:bCs/>
          <w:color w:val="3C4357"/>
          <w:sz w:val="21"/>
          <w:szCs w:val="21"/>
          <w:lang w:eastAsia="ru-RU"/>
        </w:rPr>
        <w:t>ВЫСОКОПАТОГЕННЫЙ ГРИПП ПТИЦ </w:t>
      </w: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- острая контагиозная вирусная инфекция домашних и диких птиц, характеризующаяся общим у</w:t>
      </w:r>
      <w:r w:rsidRPr="0064191F">
        <w:rPr>
          <w:rFonts w:ascii="Times New Roman" w:eastAsia="Times New Roman" w:hAnsi="Times New Roman" w:cs="Times New Roman"/>
          <w:b/>
          <w:bCs/>
          <w:color w:val="3C4357"/>
          <w:sz w:val="21"/>
          <w:szCs w:val="21"/>
          <w:lang w:eastAsia="ru-RU"/>
        </w:rPr>
        <w:t>г</w:t>
      </w: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нетением, отеками, множественными кровоизлияниями и поражениями внутренних органов, мозга и кожи. К высокопатогенному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 Наиболее чувствительны к вирусу цыплята и индейки. У кур заболевание, вызванное высокопатогенным штаммом вируса, часто протекает молниеносно, бессимптомно и приводит к 100%-ному летальному исходу.</w:t>
      </w:r>
    </w:p>
    <w:p w14:paraId="0072AFDA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b/>
          <w:bCs/>
          <w:color w:val="3C4357"/>
          <w:sz w:val="21"/>
          <w:szCs w:val="21"/>
          <w:lang w:eastAsia="ru-RU"/>
        </w:rPr>
        <w:t>Источники вирусов гриппа птиц в природе</w:t>
      </w:r>
    </w:p>
    <w:p w14:paraId="4AD0DD97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С помощью перелетных птиц эта болезнь распространяется на большие расстояния. Основные пути передачи возбудителя болезни - через корм, воду, при потреблении которых происходит заражение организма (алиментарный путь передачи), а также - при прямом контакте восприимчивого поголовья с инфицированной птицей - воздушно-капельный и фекально-оральный пути передачи.</w:t>
      </w:r>
    </w:p>
    <w:p w14:paraId="49D1C7D1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b/>
          <w:bCs/>
          <w:color w:val="3C4357"/>
          <w:sz w:val="21"/>
          <w:szCs w:val="21"/>
          <w:lang w:eastAsia="ru-RU"/>
        </w:rPr>
        <w:t>Симптомы гриппа птиц у домашних птиц</w:t>
      </w:r>
    </w:p>
    <w:p w14:paraId="0FEB79B1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Характерными клиническими признаками симптомов болезни у всех видов домашних и диких водоплавающих птиц являются:</w:t>
      </w:r>
    </w:p>
    <w:p w14:paraId="57A829D5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повышенная температура тела;</w:t>
      </w:r>
    </w:p>
    <w:p w14:paraId="6959A280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proofErr w:type="spellStart"/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дискоординация</w:t>
      </w:r>
      <w:proofErr w:type="spellEnd"/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 xml:space="preserve"> движений;</w:t>
      </w:r>
    </w:p>
    <w:p w14:paraId="2EBBE556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lastRenderedPageBreak/>
        <w:t>запрокидывание головы;</w:t>
      </w:r>
    </w:p>
    <w:p w14:paraId="7959F01A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вращательное движение головой с потряхиванием;</w:t>
      </w:r>
    </w:p>
    <w:p w14:paraId="0A5D09D0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искривление шеи;</w:t>
      </w:r>
    </w:p>
    <w:p w14:paraId="2E4E277D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отсутствие реакции на внешние раздражители;</w:t>
      </w:r>
    </w:p>
    <w:p w14:paraId="074D9F5C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отказ от корма и воды;</w:t>
      </w:r>
    </w:p>
    <w:p w14:paraId="47E741B2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угнетенное состояние;</w:t>
      </w:r>
    </w:p>
    <w:p w14:paraId="0DD02920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синусит, истечение из носовых отверстий;</w:t>
      </w:r>
    </w:p>
    <w:p w14:paraId="05C673D7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proofErr w:type="spellStart"/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коньюктивит</w:t>
      </w:r>
      <w:proofErr w:type="spellEnd"/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;</w:t>
      </w:r>
    </w:p>
    <w:p w14:paraId="2956AFF6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помутнение роговицы и слепота;</w:t>
      </w:r>
    </w:p>
    <w:p w14:paraId="7DA93453" w14:textId="77777777" w:rsidR="0064191F" w:rsidRPr="0064191F" w:rsidRDefault="0064191F" w:rsidP="0064191F">
      <w:pPr>
        <w:numPr>
          <w:ilvl w:val="0"/>
          <w:numId w:val="2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диарея.</w:t>
      </w:r>
    </w:p>
    <w:p w14:paraId="5F494AB0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Отмечается опухание и почернение гребня, синюшность сережек, отечность головы, шеи.</w:t>
      </w:r>
    </w:p>
    <w:p w14:paraId="19C32991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b/>
          <w:bCs/>
          <w:color w:val="3C4357"/>
          <w:sz w:val="21"/>
          <w:szCs w:val="21"/>
          <w:lang w:eastAsia="ru-RU"/>
        </w:rPr>
        <w:t>Профилактика гриппа птиц</w:t>
      </w:r>
    </w:p>
    <w:p w14:paraId="6F1E5B2B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птиц, утвержденные Приказом Минсельхоза России от 24.03.2021 N 158:</w:t>
      </w:r>
    </w:p>
    <w:p w14:paraId="7A9C6300" w14:textId="77777777" w:rsidR="0064191F" w:rsidRPr="0064191F" w:rsidRDefault="0064191F" w:rsidP="0064191F">
      <w:pPr>
        <w:numPr>
          <w:ilvl w:val="0"/>
          <w:numId w:val="3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Осуществлять хозяйственные и ветеринарные мероприятия, обеспечивающие предупреждение возникновения заболевания птиц;</w:t>
      </w:r>
    </w:p>
    <w:p w14:paraId="5C8EE3DF" w14:textId="77777777" w:rsidR="0064191F" w:rsidRPr="0064191F" w:rsidRDefault="0064191F" w:rsidP="0064191F">
      <w:pPr>
        <w:numPr>
          <w:ilvl w:val="0"/>
          <w:numId w:val="3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Предоставлять специалистам в области ветеринарии по их требованию птиц для осмотра;</w:t>
      </w:r>
    </w:p>
    <w:p w14:paraId="70C8B900" w14:textId="77777777" w:rsidR="0064191F" w:rsidRPr="0064191F" w:rsidRDefault="0064191F" w:rsidP="0064191F">
      <w:pPr>
        <w:numPr>
          <w:ilvl w:val="0"/>
          <w:numId w:val="3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Выполнять указания специалистов в области ветеринарии о проведении мероприятий по профилактике и борьбе с гриппом птиц;</w:t>
      </w:r>
    </w:p>
    <w:p w14:paraId="5F6E30C8" w14:textId="77777777" w:rsidR="0064191F" w:rsidRPr="0064191F" w:rsidRDefault="0064191F" w:rsidP="0064191F">
      <w:pPr>
        <w:numPr>
          <w:ilvl w:val="0"/>
          <w:numId w:val="3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поведении;</w:t>
      </w:r>
    </w:p>
    <w:p w14:paraId="21524532" w14:textId="77777777" w:rsidR="0064191F" w:rsidRPr="0064191F" w:rsidRDefault="0064191F" w:rsidP="0064191F">
      <w:pPr>
        <w:numPr>
          <w:ilvl w:val="0"/>
          <w:numId w:val="3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lastRenderedPageBreak/>
        <w:t>До прибытия специалистов принять меры по изоляции птиц, подозреваемых в заболевании;</w:t>
      </w:r>
    </w:p>
    <w:p w14:paraId="6C354F27" w14:textId="77777777" w:rsidR="0064191F" w:rsidRPr="0064191F" w:rsidRDefault="0064191F" w:rsidP="0064191F">
      <w:pPr>
        <w:numPr>
          <w:ilvl w:val="0"/>
          <w:numId w:val="3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безвыгульное</w:t>
      </w:r>
      <w:proofErr w:type="spellEnd"/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 xml:space="preserve"> содержание).</w:t>
      </w:r>
    </w:p>
    <w:p w14:paraId="542A69A7" w14:textId="77777777" w:rsidR="0064191F" w:rsidRPr="0064191F" w:rsidRDefault="0064191F" w:rsidP="0064191F">
      <w:pPr>
        <w:numPr>
          <w:ilvl w:val="0"/>
          <w:numId w:val="3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14:paraId="7A240774" w14:textId="77777777" w:rsidR="0064191F" w:rsidRPr="0064191F" w:rsidRDefault="0064191F" w:rsidP="0064191F">
      <w:pPr>
        <w:numPr>
          <w:ilvl w:val="0"/>
          <w:numId w:val="3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14:paraId="533EDA89" w14:textId="77777777" w:rsidR="0064191F" w:rsidRPr="0064191F" w:rsidRDefault="0064191F" w:rsidP="0064191F">
      <w:pPr>
        <w:numPr>
          <w:ilvl w:val="0"/>
          <w:numId w:val="3"/>
        </w:num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Обеспечить защиту птичника и помещений для хранения кормов от проникновения дикой и синантропной птицы (</w:t>
      </w:r>
      <w:proofErr w:type="spellStart"/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засечивание</w:t>
      </w:r>
      <w:proofErr w:type="spellEnd"/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 xml:space="preserve"> окон и дверей).</w:t>
      </w:r>
    </w:p>
    <w:p w14:paraId="2D529B1A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 xml:space="preserve">10. Хранить корма для домашней и декоративной птицы в плотно закрытых водонепроницаемых емкостях, недоступных для дикой птицы. Пищевые отходы перед кормлением подвергать </w:t>
      </w:r>
      <w:proofErr w:type="spellStart"/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провариванию</w:t>
      </w:r>
      <w:proofErr w:type="spellEnd"/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.</w:t>
      </w:r>
    </w:p>
    <w:p w14:paraId="55150C69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11. Убой домашней птицы, предназначенной для реализации, осуществлять на специализированных предприятиях.</w:t>
      </w:r>
    </w:p>
    <w:p w14:paraId="2389FB6D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12. В случае подозрения на заболевание незамедлительно сообщать</w:t>
      </w: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br/>
        <w:t> -Пермская СББЖ 8 (342) 226-62-47, 226-21-09;</w:t>
      </w: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br/>
        <w:t>- Управление РСХ по Кировской области, Удмуртской Республики</w:t>
      </w: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br/>
        <w:t>и Пермскому краю 8 (342) 297-93-47.</w:t>
      </w:r>
    </w:p>
    <w:p w14:paraId="7F7F51EC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b/>
          <w:bCs/>
          <w:color w:val="3C4357"/>
          <w:sz w:val="21"/>
          <w:szCs w:val="21"/>
          <w:lang w:eastAsia="ru-RU"/>
        </w:rPr>
        <w:t>Профилактика гриппа птиц у людей</w:t>
      </w:r>
    </w:p>
    <w:p w14:paraId="5276B5F5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14:paraId="2F2F4F26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lastRenderedPageBreak/>
        <w:t>Избегать контакта с подозрительной в заболевании или павшей птицей. 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14:paraId="44FC21CC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 4, сертификат соответствия, удостоверение о качестве).</w:t>
      </w:r>
    </w:p>
    <w:p w14:paraId="17A96368" w14:textId="77777777" w:rsidR="0064191F" w:rsidRPr="0064191F" w:rsidRDefault="0064191F" w:rsidP="0064191F">
      <w:pPr>
        <w:spacing w:after="0" w:line="360" w:lineRule="exact"/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</w:pPr>
      <w:r w:rsidRPr="0064191F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 Употреблять в пищу мясо птицы и яйцо после термической обработки: яйцо варить не менее 10 минут, мясо - не менее 30 минут при температуре 100°С. Исключить контакт с водоплавающими и синантропными птицами (голуби, воробьи, вороны, чайки, утки, галки и пр.).</w:t>
      </w:r>
    </w:p>
    <w:sectPr w:rsidR="0064191F" w:rsidRPr="0064191F" w:rsidSect="006419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8A6"/>
    <w:multiLevelType w:val="multilevel"/>
    <w:tmpl w:val="C7CE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0762C"/>
    <w:multiLevelType w:val="multilevel"/>
    <w:tmpl w:val="6BFA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22D26"/>
    <w:multiLevelType w:val="multilevel"/>
    <w:tmpl w:val="87BE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52EAE"/>
    <w:multiLevelType w:val="multilevel"/>
    <w:tmpl w:val="14BE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1F"/>
    <w:rsid w:val="0064191F"/>
    <w:rsid w:val="006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DB39"/>
  <w15:chartTrackingRefBased/>
  <w15:docId w15:val="{29F2DF33-3AAD-4EA6-B4A0-2368B34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19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191F"/>
    <w:rPr>
      <w:b/>
      <w:bCs/>
    </w:rPr>
  </w:style>
  <w:style w:type="paragraph" w:customStyle="1" w:styleId="ya-share2item">
    <w:name w:val="ya-share2__item"/>
    <w:basedOn w:val="a"/>
    <w:rsid w:val="006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895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59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2024-03-11T04:56:00Z</cp:lastPrinted>
  <dcterms:created xsi:type="dcterms:W3CDTF">2024-03-11T04:56:00Z</dcterms:created>
  <dcterms:modified xsi:type="dcterms:W3CDTF">2024-03-11T05:02:00Z</dcterms:modified>
</cp:coreProperties>
</file>